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pl-PL" w:eastAsia="pl-PL"/>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pl-PL" w:eastAsia="pl-PL"/>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3" w:history="1">
                              <w:r w:rsidRPr="005F66E7">
                                <w:rPr>
                                  <w:rStyle w:val="Hipercze"/>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4" w:history="1">
                              <w:r w:rsidRPr="005F66E7">
                                <w:rPr>
                                  <w:rStyle w:val="Hipercze"/>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5">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6">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Siatk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ela-Siatk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Odwoaniedokomentarza"/>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3177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3177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3177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317702"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3177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3177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3177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317702"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ela-Siatk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Akapitzlist"/>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ela-Siatka"/>
        <w:tblW w:w="0" w:type="auto"/>
        <w:tblLook w:val="04A0" w:firstRow="1" w:lastRow="0" w:firstColumn="1" w:lastColumn="0" w:noHBand="0" w:noVBand="1"/>
      </w:tblPr>
      <w:tblGrid>
        <w:gridCol w:w="2376"/>
        <w:gridCol w:w="8306"/>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7" w:history="1">
              <w:r w:rsidRPr="002E1905">
                <w:rPr>
                  <w:rStyle w:val="Hipercze"/>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kstprzypisudolnego"/>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8" w:history="1">
              <w:r w:rsidRPr="002E1905">
                <w:rPr>
                  <w:rStyle w:val="Hipercze"/>
                  <w:rFonts w:cstheme="minorHAnsi"/>
                  <w:sz w:val="20"/>
                  <w:szCs w:val="20"/>
                  <w:lang w:val="en-GB"/>
                </w:rPr>
                <w:t>ISCED-F 2013 search tool</w:t>
              </w:r>
            </w:hyperlink>
            <w:r w:rsidRPr="002E1905">
              <w:rPr>
                <w:rFonts w:cstheme="minorHAnsi"/>
                <w:sz w:val="20"/>
                <w:szCs w:val="20"/>
                <w:lang w:val="en-GB"/>
              </w:rPr>
              <w:t xml:space="preserve"> available at </w:t>
            </w:r>
            <w:hyperlink r:id="rId19" w:history="1">
              <w:r w:rsidRPr="002E1905">
                <w:rPr>
                  <w:rStyle w:val="Hipercz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kstprzypisukocowego"/>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w:t>
            </w:r>
            <w:r w:rsidRPr="002E1905">
              <w:rPr>
                <w:sz w:val="20"/>
                <w:szCs w:val="20"/>
                <w:lang w:val="en-GB"/>
              </w:rPr>
              <w:lastRenderedPageBreak/>
              <w:t xml:space="preserve">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lastRenderedPageBreak/>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kstprzypisudolnego"/>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20" w:history="1">
              <w:r w:rsidRPr="00EA0171">
                <w:rPr>
                  <w:rStyle w:val="Hipercz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1" w:history="1">
              <w:r w:rsidRPr="002E1905">
                <w:rPr>
                  <w:rStyle w:val="Hipercz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2" w:history="1">
              <w:proofErr w:type="spellStart"/>
              <w:r w:rsidRPr="002E1905">
                <w:rPr>
                  <w:rStyle w:val="Hipercz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kstprzypisukocowego"/>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3" w:history="1">
              <w:r w:rsidRPr="002E1905">
                <w:rPr>
                  <w:rStyle w:val="Hipercze"/>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kstprzypisudolnego"/>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kstprzypisudolnego"/>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kstprzypisudolnego"/>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kstprzypisudolnego"/>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17702"/>
    <w:rsid w:val="003A52FF"/>
    <w:rsid w:val="003D48C6"/>
    <w:rsid w:val="003E0C23"/>
    <w:rsid w:val="003F60C8"/>
    <w:rsid w:val="00413573"/>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arning-agreement.eu/"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diploma-supplemen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iki.uni-foundation.eu/display/MAID/MyAcademicI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programmes/erasmus-plus/resources/documents/guidelines-how-use-learning-agreement-studies_en" TargetMode="External"/><Relationship Id="rId20" Type="http://schemas.openxmlformats.org/officeDocument/2006/relationships/hyperlink" Target="https://ec.europa.eu/education/ects/users-guide/docs/ects-users-guide_e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earning-agreement.eu/" TargetMode="External"/><Relationship Id="rId23" Type="http://schemas.openxmlformats.org/officeDocument/2006/relationships/hyperlink" Target="https://europass.cedefop.europa.eu/en/resources/european-language-levels-cefr" TargetMode="External"/><Relationship Id="rId10" Type="http://schemas.openxmlformats.org/officeDocument/2006/relationships/footnotes" Target="footnotes.xml"/><Relationship Id="rId19" Type="http://schemas.openxmlformats.org/officeDocument/2006/relationships/hyperlink" Target="http://ec.europa.eu/education/international-standard-classification-of-education-isced_e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programmes/erasmus-plus/resources/documents/guidelines-how-use-learning-agreement-studies_en" TargetMode="External"/><Relationship Id="rId22"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3fb91a6a-179c-40e3-9f1d-e92656024331"/>
    <ds:schemaRef ds:uri="http://purl.org/dc/dcmitype/"/>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C21F0DEB-D6AE-4285-A126-75F0AA304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1932</Words>
  <Characters>11596</Characters>
  <Application>Microsoft Office Word</Application>
  <DocSecurity>4</DocSecurity>
  <Lines>96</Lines>
  <Paragraphs>27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Magdalena Birgiel</cp:lastModifiedBy>
  <cp:revision>2</cp:revision>
  <cp:lastPrinted>2021-02-09T14:36:00Z</cp:lastPrinted>
  <dcterms:created xsi:type="dcterms:W3CDTF">2021-10-21T06:41:00Z</dcterms:created>
  <dcterms:modified xsi:type="dcterms:W3CDTF">2021-10-21T06:41:00Z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